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513A" w14:textId="78FDA87D" w:rsidR="00F32ADD" w:rsidRDefault="00337BA5">
      <w:hyperlink r:id="rId4" w:history="1">
        <w:r w:rsidRPr="00337BA5">
          <w:rPr>
            <w:rStyle w:val="a3"/>
          </w:rPr>
          <w:t>План мероприятий по борьбе с допингом</w:t>
        </w:r>
      </w:hyperlink>
    </w:p>
    <w:sectPr w:rsidR="00F32ADD" w:rsidSect="00635139">
      <w:pgSz w:w="11906" w:h="16838"/>
      <w:pgMar w:top="357" w:right="170" w:bottom="18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5"/>
    <w:rsid w:val="00337BA5"/>
    <w:rsid w:val="00635139"/>
    <w:rsid w:val="00694062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2BAD"/>
  <w15:chartTrackingRefBased/>
  <w15:docId w15:val="{E37684D1-27AE-48BC-8B1A-88B3CCCA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B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ada.ru/education/for-children/programmy-dlya-detey-i-podrostk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2022-06-08T06:41:00Z</dcterms:created>
  <dcterms:modified xsi:type="dcterms:W3CDTF">2022-06-08T06:43:00Z</dcterms:modified>
</cp:coreProperties>
</file>